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1993" w14:textId="02B79112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Treści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checkboxów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SMS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bezpieczeństwa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</w:p>
    <w:p w14:paraId="134D4731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7FACFC75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(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wysyłany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Zleceniodawców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, 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połączeniu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mechanizmem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smsa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linku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zwrotnego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umożliwiającego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procedowanie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leada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Brokera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(w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przypadku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wyrażonej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Zleceniodawcę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). Ten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sam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mechanizm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służy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jednocześnie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sprawdzaniu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czy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dany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Zleceniodawca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jest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już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obsługiwany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portalu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innego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Brokera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2A5E0F76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7583FE8D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SMS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bezpieczeństwa</w:t>
      </w:r>
      <w:proofErr w:type="spellEnd"/>
    </w:p>
    <w:p w14:paraId="63C95B82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„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Wyrażam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zgodę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udostępnienie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przetwarzanie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Serwisie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Kontrakton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mojego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numeru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telefonu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/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adresu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e-mail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tylko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wyłącznie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potrzeby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pozyskania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wykonawców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realizacji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mojego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zlecenia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”.</w:t>
      </w:r>
    </w:p>
    <w:p w14:paraId="3EC886D5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 </w:t>
      </w:r>
    </w:p>
    <w:p w14:paraId="2DE975D8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Formularz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rejestracyjny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stronie</w:t>
      </w:r>
      <w:proofErr w:type="spellEnd"/>
    </w:p>
    <w:p w14:paraId="705A987D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„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Wyrażam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zgodę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otrzymywanie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Kontrakton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Sp. z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o.o.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ul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. Sienna 9, 70-542 Szczecin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informacji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handlowych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celu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realizacji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usługi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zlecenia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bądź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dzieł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czy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też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sprzedaży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produktów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udostępnianie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moich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danych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kontaktowych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użytkownikom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Serwisu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Kontrakton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(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Zleceniodawcy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Zleceniobiorcy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Brokerzy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).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Jestem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świadomy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/a,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że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wyrażenie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jest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dobrowolne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że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mogę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zgodę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odwołać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dowolnym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momencie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”.</w:t>
      </w:r>
    </w:p>
    <w:p w14:paraId="5E98D604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 </w:t>
      </w:r>
    </w:p>
    <w:p w14:paraId="285732CB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Formularz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kontaktowy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stronie</w:t>
      </w:r>
      <w:proofErr w:type="spellEnd"/>
      <w:r w:rsidRPr="0022674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 </w:t>
      </w:r>
    </w:p>
    <w:p w14:paraId="34445955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u w:val="single" w:color="000000"/>
          <w:lang w:val="en-US" w:eastAsia="pl-PL"/>
          <w14:ligatures w14:val="none"/>
        </w:rPr>
      </w:pPr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„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Wyrażam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zgodę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przetwarzanie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moich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danych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osobowych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podanych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formularzu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kontaktowym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Kontrakton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Sp. z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o.o.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siedzibą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Szczecinie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(70-542),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ul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. Sienna 9 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celu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nawiązania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kontaktu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udzielenia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odpowiedzi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pytanie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załatwienia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mojej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sprawy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.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Podstawą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prawną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przetwarzania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moich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danych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osobowych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jest art. 6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1 lit. a RODO,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czyli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osoby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której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dane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dotyczą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. Mam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prawo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dowolnym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momencie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wycofać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swoją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zgodę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.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Wycofanie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wpływa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zgodność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prawem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przetwarzania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którego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dokonano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podstawie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zgody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przed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jej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wycofaniem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.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Pozostałe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informacje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dotyczące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przetwarzania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danych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osobowych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można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znaleźć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naszej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 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val="single" w:color="000000"/>
          <w:lang w:val="en-US" w:eastAsia="pl-PL"/>
          <w14:ligatures w14:val="none"/>
        </w:rPr>
        <w:t>Polityce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val="single"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val="single" w:color="000000"/>
          <w:lang w:val="en-US" w:eastAsia="pl-PL"/>
          <w14:ligatures w14:val="none"/>
        </w:rPr>
        <w:t>prywatności</w:t>
      </w:r>
      <w:proofErr w:type="spellEnd"/>
      <w:r w:rsidRPr="0022674D">
        <w:rPr>
          <w:rFonts w:ascii="Arial" w:eastAsia="Times New Roman" w:hAnsi="Arial" w:cs="Arial"/>
          <w:color w:val="222222"/>
          <w:kern w:val="0"/>
          <w:sz w:val="20"/>
          <w:szCs w:val="20"/>
          <w:u w:val="single" w:color="000000"/>
          <w:lang w:val="en-US" w:eastAsia="pl-PL"/>
          <w14:ligatures w14:val="none"/>
        </w:rPr>
        <w:t>”</w:t>
      </w:r>
    </w:p>
    <w:p w14:paraId="3D23E593" w14:textId="77777777" w:rsidR="00057515" w:rsidRPr="0022674D" w:rsidRDefault="00057515" w:rsidP="00057515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 - </w:t>
      </w:r>
      <w:proofErr w:type="spellStart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podlinkować</w:t>
      </w:r>
      <w:proofErr w:type="spellEnd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Polityki</w:t>
      </w:r>
      <w:proofErr w:type="spellEnd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prywatności</w:t>
      </w:r>
      <w:proofErr w:type="spellEnd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stronie</w:t>
      </w:r>
      <w:proofErr w:type="spellEnd"/>
      <w:r w:rsidRPr="0022674D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252B0E1F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7FC98D4E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Cookie </w:t>
      </w:r>
      <w:proofErr w:type="spellStart"/>
      <w:r w:rsidRPr="0022674D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opcje</w:t>
      </w:r>
      <w:proofErr w:type="spellEnd"/>
      <w:r w:rsidRPr="0022674D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zaawansowane</w:t>
      </w:r>
      <w:proofErr w:type="spellEnd"/>
      <w:r w:rsidRPr="0022674D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r w:rsidRPr="0022674D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(</w:t>
      </w:r>
      <w:proofErr w:type="spellStart"/>
      <w:r w:rsidRPr="0022674D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zastosować</w:t>
      </w:r>
      <w:proofErr w:type="spellEnd"/>
      <w:r w:rsidRPr="0022674D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standardowe</w:t>
      </w:r>
      <w:proofErr w:type="spellEnd"/>
      <w:r w:rsidRPr="0022674D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opcje</w:t>
      </w:r>
      <w:proofErr w:type="spellEnd"/>
      <w:r w:rsidRPr="0022674D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hostingu</w:t>
      </w:r>
      <w:proofErr w:type="spellEnd"/>
      <w:r w:rsidRPr="0022674D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)</w:t>
      </w:r>
    </w:p>
    <w:p w14:paraId="723EE590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Helvetica Neue" w:hAnsi="Arial" w:cs="Arial"/>
          <w:color w:val="000000"/>
          <w:kern w:val="0"/>
          <w:sz w:val="20"/>
          <w:szCs w:val="20"/>
          <w:u w:color="000000"/>
          <w:lang w:val="en-US" w:eastAsia="pl-PL"/>
        </w:rPr>
      </w:pPr>
    </w:p>
    <w:p w14:paraId="71F9CBCE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Checkboxy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wyboru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form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współpracy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podatkowe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</w:p>
    <w:p w14:paraId="170C9FD7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5A5CB446" w14:textId="77777777" w:rsidR="00057515" w:rsidRPr="0022674D" w:rsidRDefault="00057515" w:rsidP="00057515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Checkboxy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form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współpracy</w:t>
      </w:r>
      <w:proofErr w:type="spellEnd"/>
    </w:p>
    <w:p w14:paraId="317CD1F9" w14:textId="77777777" w:rsidR="00057515" w:rsidRPr="0022674D" w:rsidRDefault="00057515" w:rsidP="00057515">
      <w:pPr>
        <w:widowControl w:val="0"/>
        <w:suppressAutoHyphens/>
        <w:spacing w:after="0" w:line="360" w:lineRule="auto"/>
        <w:contextualSpacing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(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>Może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>być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>tylko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>jeden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>wyboru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 xml:space="preserve"> z 3</w:t>
      </w:r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! </w:t>
      </w:r>
    </w:p>
    <w:p w14:paraId="1C90108E" w14:textId="77777777" w:rsidR="00057515" w:rsidRPr="0022674D" w:rsidRDefault="00057515" w:rsidP="00057515">
      <w:pPr>
        <w:widowControl w:val="0"/>
        <w:suppressAutoHyphens/>
        <w:spacing w:after="0" w:line="360" w:lineRule="auto"/>
        <w:contextualSpacing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Adnotacje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mogą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być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Przypisach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1, 2, 3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podglądu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schowane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za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znakami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„?”):</w:t>
      </w:r>
    </w:p>
    <w:p w14:paraId="5DD7DBEB" w14:textId="77777777" w:rsidR="00057515" w:rsidRPr="0022674D" w:rsidRDefault="00057515" w:rsidP="00057515">
      <w:pPr>
        <w:widowControl w:val="0"/>
        <w:suppressAutoHyphens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3D1CB963" w14:textId="77777777" w:rsidR="00057515" w:rsidRPr="0022674D" w:rsidRDefault="00057515" w:rsidP="00057515">
      <w:pPr>
        <w:widowControl w:val="0"/>
        <w:suppressAutoHyphens/>
        <w:spacing w:after="0" w:line="360" w:lineRule="auto"/>
        <w:contextualSpacing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Formy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współpracy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Brokerów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Serwisem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Kontrakton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:</w:t>
      </w:r>
    </w:p>
    <w:p w14:paraId="1200DDD7" w14:textId="77777777" w:rsidR="00057515" w:rsidRPr="0022674D" w:rsidRDefault="00057515" w:rsidP="00057515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„checkbox”: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fizyczna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forma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umowy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zlecenia</w:t>
      </w: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vertAlign w:val="superscript"/>
          <w:lang w:val="en-US" w:eastAsia="pl-PL"/>
          <w14:ligatures w14:val="none"/>
        </w:rPr>
        <w:t>1</w:t>
      </w:r>
    </w:p>
    <w:p w14:paraId="464B3089" w14:textId="77777777" w:rsidR="00057515" w:rsidRPr="0022674D" w:rsidRDefault="00057515" w:rsidP="00057515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„checkbox”: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fizyczna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działalność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nierejestrowa</w:t>
      </w: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vertAlign w:val="superscript"/>
          <w:lang w:val="en-US" w:eastAsia="pl-PL"/>
          <w14:ligatures w14:val="none"/>
        </w:rPr>
        <w:t>2</w:t>
      </w:r>
    </w:p>
    <w:p w14:paraId="4D91D0C9" w14:textId="77777777" w:rsidR="00057515" w:rsidRPr="0022674D" w:rsidRDefault="00057515" w:rsidP="00057515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„checkbox”: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fizyczna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prowadząca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działalność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gospodarczą</w:t>
      </w: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vertAlign w:val="superscript"/>
          <w:lang w:val="en-US" w:eastAsia="pl-PL"/>
          <w14:ligatures w14:val="none"/>
        </w:rPr>
        <w:t>3</w:t>
      </w: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/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przedsiębiorstwo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/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instytucja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/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fundacja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</w:p>
    <w:p w14:paraId="6E0380C4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720"/>
        <w:contextualSpacing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3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ostatnie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formy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możemy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dać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oddzielnie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dla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przejrzystości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choć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zmienia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to w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niczym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formy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rozliczeń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ani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obowiązków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podania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danych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firmowych</w:t>
      </w:r>
      <w:proofErr w:type="spellEnd"/>
    </w:p>
    <w:p w14:paraId="176FBF90" w14:textId="77777777" w:rsidR="00057515" w:rsidRPr="0022674D" w:rsidRDefault="00057515" w:rsidP="00057515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„checkbox”: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firma</w:t>
      </w:r>
      <w:proofErr w:type="spellEnd"/>
    </w:p>
    <w:p w14:paraId="3514C191" w14:textId="77777777" w:rsidR="00057515" w:rsidRPr="0022674D" w:rsidRDefault="00057515" w:rsidP="00057515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„checkbox”: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instytucja</w:t>
      </w:r>
      <w:proofErr w:type="spellEnd"/>
    </w:p>
    <w:p w14:paraId="7852B1BD" w14:textId="77777777" w:rsidR="00057515" w:rsidRPr="0022674D" w:rsidRDefault="00057515" w:rsidP="00057515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„checkbox”: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fundacja</w:t>
      </w:r>
      <w:proofErr w:type="spellEnd"/>
    </w:p>
    <w:p w14:paraId="1779863D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2C1F9F43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vertAlign w:val="superscript"/>
          <w:lang w:val="en-US" w:eastAsia="pl-PL"/>
          <w14:ligatures w14:val="none"/>
        </w:rPr>
        <w:t>1</w:t>
      </w: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zlecenie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świadczenie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usług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stosuje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odpowiednio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przepisy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zleceniu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(art. 734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Kodeksu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cywilnego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).</w:t>
      </w:r>
    </w:p>
    <w:p w14:paraId="542DA3A8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vertAlign w:val="superscript"/>
          <w:lang w:val="en-US" w:eastAsia="pl-PL"/>
          <w14:ligatures w14:val="none"/>
        </w:rPr>
        <w:t>2</w:t>
      </w: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Art. 5 Prawa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przedsiębiorców</w:t>
      </w:r>
      <w:proofErr w:type="spellEnd"/>
    </w:p>
    <w:p w14:paraId="75EC4775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1. Nie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stanowi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wykonywana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fizyczną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przychód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należny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przekracza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żadnym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miesiącu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75%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kwoty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minimalnego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wynagrodzenia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ustawie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10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października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2002 r.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minimalnym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wynagrodzeniu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pracę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Dz.U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z 2020 r.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2207),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okresie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ostatnich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60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miesięcy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wykonywała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047E5522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2. Osoba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wykonująca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może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złożyć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wniosek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wpis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Centralnej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Ewidencji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Informacji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ta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dniem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określonym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we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wniosku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7D94B61D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3.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Jeżeli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przychód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należny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przekroczył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danym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miesiącu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wysokość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określoną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ta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począwszy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nastąpiło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wysokości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 1.</w:t>
      </w:r>
    </w:p>
    <w:p w14:paraId="4D1B82A7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4.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przypadku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3,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wykonująca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składa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wniosek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wpis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Centralnej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Ewidencji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Informacji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terminie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7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dni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nastąpiło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wysokości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 1.</w:t>
      </w:r>
    </w:p>
    <w:p w14:paraId="33700DEC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5.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Przepisu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stosuje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wykonywanej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ramach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spółki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cywilnej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6CD2D49F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6.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przychód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należny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rozumie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kwoty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należne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choćby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zostały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faktycznie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otrzymane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po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wyłączeniu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wartości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zwróconych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towarów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udzielonych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bonifikat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skont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6F33D94F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vertAlign w:val="superscript"/>
          <w:lang w:val="en-US" w:eastAsia="pl-PL"/>
          <w14:ligatures w14:val="none"/>
        </w:rPr>
        <w:t xml:space="preserve">3 </w:t>
      </w: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rozumieniu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ustawy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przedsiębiorców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3324AE27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Art. 3 Prawa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przedsiębiorców</w:t>
      </w:r>
      <w:proofErr w:type="spellEnd"/>
    </w:p>
    <w:p w14:paraId="2139CACA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jest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zorganizowana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zarobkowa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wykonywana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we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własnym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imieniu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sposób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ciągły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412558D6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Art. 4 Prawa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przedsiębiorców</w:t>
      </w:r>
      <w:proofErr w:type="spellEnd"/>
    </w:p>
    <w:p w14:paraId="50CDDF16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1.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Przedsiębiorcą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jest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fizyczna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jednostka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organizacyjna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niebędąca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prawną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odrębna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ustawa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przyznaje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zdolność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prawną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wykonująca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04F42490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2.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Przedsiębiorcami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także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wspólnicy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spółki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cywilnej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zakresie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wykonywanej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252B6C6D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3.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Zasady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podejmowania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wykonywania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zakończenia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gospodarczej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zagraniczne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określają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odrębne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przepisy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br w:type="page"/>
      </w:r>
    </w:p>
    <w:p w14:paraId="0DEB4959" w14:textId="77777777" w:rsidR="00057515" w:rsidRPr="0022674D" w:rsidRDefault="00057515" w:rsidP="00057515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lastRenderedPageBreak/>
        <w:t xml:space="preserve">Checkbox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dotyczący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nierejestrowej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Obowiązkowy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val="single" w:color="000000"/>
          <w:lang w:val="en-US" w:eastAsia="pl-PL"/>
          <w14:ligatures w14:val="none"/>
        </w:rPr>
        <w:t>możliwości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odznaczenia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jeśli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Broker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wybierze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taką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formę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współpracy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Jeśli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Broker by go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odznaczył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to od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razu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powoduje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to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zawieszenie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konta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aż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czasu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zarejestrowania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dowolnej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formy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spółki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albo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przejście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wyboru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formy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współpracy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jak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dla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zlecenia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)</w:t>
      </w:r>
    </w:p>
    <w:p w14:paraId="16699435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1080"/>
        <w:contextualSpacing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6B67638F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ewentualne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progu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dla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nierejestrowanej</w:t>
      </w:r>
      <w:proofErr w:type="spellEnd"/>
    </w:p>
    <w:p w14:paraId="78634887" w14:textId="77777777" w:rsidR="00057515" w:rsidRPr="0022674D" w:rsidRDefault="00057515" w:rsidP="00057515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„checkbox”: „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uwzględniając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ewentualne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dodatkowych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źródeł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rozliczę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samodzielnie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jednocześnie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wyrażam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zgodę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pobranie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przekazanie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moich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należności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zaliczki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(12%)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poczet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przekazanie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właściwemu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urzędowi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skarbowemu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„</w:t>
      </w:r>
    </w:p>
    <w:p w14:paraId="13E24C52" w14:textId="77777777" w:rsidR="00057515" w:rsidRPr="0022674D" w:rsidRDefault="00057515" w:rsidP="00057515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„checkbox”: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ewentualnej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aktywacji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oświadczenia</w:t>
      </w:r>
      <w:proofErr w:type="spellEnd"/>
    </w:p>
    <w:p w14:paraId="6B96A134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0CB349AB" w14:textId="77777777" w:rsidR="00057515" w:rsidRPr="0022674D" w:rsidRDefault="00057515" w:rsidP="00057515">
      <w:pPr>
        <w:widowControl w:val="0"/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551DEFAC" w14:textId="77777777" w:rsidR="00057515" w:rsidRPr="0022674D" w:rsidRDefault="00057515" w:rsidP="00057515">
      <w:pPr>
        <w:widowControl w:val="0"/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OŚWIADCZENIE</w:t>
      </w:r>
    </w:p>
    <w:p w14:paraId="78808F6B" w14:textId="77777777" w:rsidR="00057515" w:rsidRPr="0022674D" w:rsidRDefault="00057515" w:rsidP="00057515">
      <w:pPr>
        <w:widowControl w:val="0"/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o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przekroczeniu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progu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przychodowego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dla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nierejestrowej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obowiązku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zmiany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danych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Serwisie</w:t>
      </w:r>
      <w:proofErr w:type="spellEnd"/>
    </w:p>
    <w:p w14:paraId="770AF853" w14:textId="77777777" w:rsidR="00057515" w:rsidRPr="0022674D" w:rsidRDefault="00057515" w:rsidP="00057515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7AE57D1D" w14:textId="77777777" w:rsidR="00057515" w:rsidRPr="0022674D" w:rsidRDefault="00057515" w:rsidP="00057515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Niniejszym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oświadczam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że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tytułu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prowadzenia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nierejestrowej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rozumieniu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art. 5 Prawa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przedsiębiorców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przekroczyły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jednym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miesiącu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kwotę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75%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kwoty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minimalnego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wynagrodzenia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ustawie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10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października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2002 r.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minimalnym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wynagrodzeniu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pracę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Dz.U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z 2020 r.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 2207).</w:t>
      </w:r>
    </w:p>
    <w:p w14:paraId="50FDB034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br w:type="page"/>
      </w:r>
    </w:p>
    <w:p w14:paraId="2F5D9FAC" w14:textId="77777777" w:rsidR="00057515" w:rsidRPr="0022674D" w:rsidRDefault="00057515" w:rsidP="00057515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lastRenderedPageBreak/>
        <w:t>Checkboxy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kosztów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uzyskania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pojawia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gdy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broker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wybierze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opcję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rejestracji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osoba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fizyczna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forma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zlecenie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Przypis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4 do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podglądu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może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być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też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ukryty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pod „?”)</w:t>
      </w:r>
    </w:p>
    <w:p w14:paraId="35C348BA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vertAlign w:val="superscript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Stawka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przychodu</w:t>
      </w: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vertAlign w:val="superscript"/>
          <w:lang w:val="en-US" w:eastAsia="pl-PL"/>
          <w14:ligatures w14:val="none"/>
        </w:rPr>
        <w:t>4</w:t>
      </w:r>
    </w:p>
    <w:p w14:paraId="1FC9C6BD" w14:textId="77777777" w:rsidR="00057515" w:rsidRPr="0022674D" w:rsidRDefault="00057515" w:rsidP="00057515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„checkbox”: </w:t>
      </w:r>
      <w:bookmarkStart w:id="0" w:name="_Hlk150682749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„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iż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przysługuje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mi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uprawnienie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odliczenia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20%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co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rozliczę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samodzielnie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jednocześnie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wyrażam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zgodę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pobranie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przekazanie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moich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należności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zaliczki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(12%)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poczet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przekazanie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właściwemu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urzędowi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skarbowemu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”</w:t>
      </w:r>
    </w:p>
    <w:p w14:paraId="1AD9F8DC" w14:textId="77777777" w:rsidR="00057515" w:rsidRPr="0022674D" w:rsidRDefault="00057515" w:rsidP="00057515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bookmarkStart w:id="1" w:name="_Hlk150682817"/>
      <w:bookmarkEnd w:id="0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„checkbox”: „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iż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przysługuje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mi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uprawnienie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odliczenia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50%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co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rozliczę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samodzielnie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jednocześnie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wyrażam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zgodę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pobranie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przekazanie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moich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należności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zaliczki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(12%)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poczet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przekazanie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właściwemu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urzędowi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skarbowemu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„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iż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przysługuje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mi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uprawnienie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odliczenia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20%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co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rozliczę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samodzielnie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jednocześnie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wyrażam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zgodę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pobranie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przekazanie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moich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należności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zaliczki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(12%)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poczet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przekazanie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właściwemu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urzędowi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skarbowemu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”</w:t>
      </w:r>
      <w:bookmarkEnd w:id="1"/>
    </w:p>
    <w:p w14:paraId="372CCC3D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4CA42277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vertAlign w:val="superscript"/>
          <w:lang w:val="en-US" w:eastAsia="pl-PL"/>
          <w14:ligatures w14:val="none"/>
        </w:rPr>
        <w:t>4</w:t>
      </w: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niektórych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określa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(art. 22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9 pkt 1-4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6,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9a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9b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ustawy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PIT):</w:t>
      </w:r>
    </w:p>
    <w:p w14:paraId="4FCB150F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1)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wysokości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50%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tytułu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zapłaty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twórcy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przeniesienie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własności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wynalazku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topografii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układu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scalonego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wzoru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użytkowego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wzoru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przemysłowego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znaku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towarowego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wzoru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zdobniczego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zastrzeżeniem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 9a;</w:t>
      </w:r>
    </w:p>
    <w:p w14:paraId="3CF3B485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2)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wysokości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50%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tytułu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opłaty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licencyjnej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przeniesienie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stosowania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wynalazku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topografii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układu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scalonego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wzoru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użytkowego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wzoru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przemysłowego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znaku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towarowego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wzoru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zdobniczego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otrzymanej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pierwszym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trwania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licencji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pierwszej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jednostki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zawarto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licencyjną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zastrzeżeniem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 9a;</w:t>
      </w:r>
    </w:p>
    <w:p w14:paraId="6C612483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3)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wysokości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50%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tytułu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korzystania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twórców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autorskich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artystów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wykonawców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pokrewnych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rozumieniu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odrębnych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przepisów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rozporządzania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tymi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prawami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-,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zastrzeżeniem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9a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9b,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że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oblicza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pomniejszonego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potrącone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płatnika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danym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miesiącu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składki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ubezpieczenia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emerytalne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rentowe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ubezpieczenie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chorobowe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art. 26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 pkt 2 lit. b,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podstawę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wymiaru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stanowi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ten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przychód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;</w:t>
      </w:r>
    </w:p>
    <w:p w14:paraId="65C29964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4)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wysokości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20%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tytułów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określonych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art. 13 pkt 2, 4-6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8,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że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oblicza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pomniejszonego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potrącone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płatnika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danym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miesiącu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składki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ubezpieczenia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emerytalne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rentowe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ubezpieczenie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chorobowe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art. 26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 pkt 2 lit. b,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podstawę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wymiaru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stanowi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ten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przychód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;</w:t>
      </w:r>
    </w:p>
    <w:p w14:paraId="75838F6E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6)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wysokości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20%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innych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źródeł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art. 10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 pkt 9,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podstawie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stosuje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przepisy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cywilnego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dotyczące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zlecenia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dzieło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że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oblicza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pomniejszonego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potrącone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płatnika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lub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opłacone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podatnika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danym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miesiącu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składki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ubezpieczenia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emerytalne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rentowe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ubezpieczenie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chorobowe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art. 26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 pkt 2 lit. b,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podstawę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wymiaru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stanowi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ten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przychód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532263B3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9a.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roku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podatkowym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łączne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koszty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9 pkt 1-3,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mogą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przekroczyć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kwoty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stanowiącej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górną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granicę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pierwszego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przedziału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skali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podatkowej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art. 27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 1.</w:t>
      </w:r>
    </w:p>
    <w:p w14:paraId="6957A3DD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9b.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Przepis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9 pkt 3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stosuje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się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przychodów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uzyskiwanych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tytułu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:</w:t>
      </w:r>
    </w:p>
    <w:p w14:paraId="62364D52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1)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twórczej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zakresie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architektury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architektury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wnętrz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architektury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krajobrazu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inżynierii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budowlanej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urbanistyki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literatury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sztuk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plastycznych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wzornictwa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przemysłowego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muzyki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fotografiki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twórczości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audialnej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audiowizualnej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programów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komputerowych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gier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komputerowych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teatru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kostiumografii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lastRenderedPageBreak/>
        <w:t>scenografii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reżyserii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choreografii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lutnictwa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artystycznego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sztuki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ludowej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dziennikarstwa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;</w:t>
      </w:r>
    </w:p>
    <w:p w14:paraId="58411C2D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2)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artystycznej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dziedzinie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sztuki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aktorskiej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estradowej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tanecznej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cyrkowej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dziedzinie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dyrygentury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wokalistyki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instrumentalistyki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;</w:t>
      </w:r>
    </w:p>
    <w:p w14:paraId="54E2DEEF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3)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produkcji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audialnej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audiowizualnej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;</w:t>
      </w:r>
    </w:p>
    <w:p w14:paraId="1E8F68F1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4)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publicystycznej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;</w:t>
      </w:r>
    </w:p>
    <w:p w14:paraId="7EB9B186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5)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muzealniczej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dziedzinie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wystawienniczej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naukowej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popularyzatorskiej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edukacyjnej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wydawniczej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;</w:t>
      </w:r>
    </w:p>
    <w:p w14:paraId="34DC68ED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6)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konserwatorskiej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;</w:t>
      </w:r>
    </w:p>
    <w:p w14:paraId="06B220B2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284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7)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zależnego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którym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mowa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art. 2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2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ustawy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4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lutego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1994 r.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autorskim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prawach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pokrewnych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Dz.U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z 2021 r.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1062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2022 r.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655),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opracowania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cudzego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utworu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postaci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tłumaczenia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;</w:t>
      </w:r>
    </w:p>
    <w:p w14:paraId="7A9D02E9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8)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badawczo-rozwojowej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naukowej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naukowo-dydaktycznej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badawczej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badawczo-dydaktycznej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oraz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prowadzonej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uczelni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działalności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dydaktycznej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748591F6" w14:textId="77777777" w:rsidR="00057515" w:rsidRPr="0022674D" w:rsidRDefault="00057515" w:rsidP="00057515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Checkbox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dla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osób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fizycznych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podejmujących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współpracę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zasadach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jak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dla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umowy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zlecenia</w:t>
      </w:r>
      <w:proofErr w:type="spellEnd"/>
      <w:r w:rsidRPr="0022674D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(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Obowiązkowy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odhaczenia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przypadku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wyboru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takiej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formy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współpracy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ewentualności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przekroczenia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progu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łącznych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dochodów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powyżej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120.000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zł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co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zwiększa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obowiązek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podatkowy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dziś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12 </w:t>
      </w:r>
      <w:proofErr w:type="spellStart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32%)</w:t>
      </w:r>
    </w:p>
    <w:p w14:paraId="433D8B2B" w14:textId="77777777" w:rsidR="00057515" w:rsidRPr="0022674D" w:rsidRDefault="00057515" w:rsidP="00057515">
      <w:pPr>
        <w:widowControl w:val="0"/>
        <w:suppressAutoHyphens/>
        <w:spacing w:after="0" w:line="360" w:lineRule="auto"/>
        <w:ind w:left="1080"/>
        <w:contextualSpacing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2B10D3C1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Oświadczenie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przekroczeniu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progu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podatkowego</w:t>
      </w:r>
      <w:proofErr w:type="spellEnd"/>
    </w:p>
    <w:p w14:paraId="3F985281" w14:textId="77777777" w:rsidR="00057515" w:rsidRPr="0022674D" w:rsidRDefault="00057515" w:rsidP="00057515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„checkbox” do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aktywacji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oświadczenia</w:t>
      </w:r>
      <w:proofErr w:type="spellEnd"/>
    </w:p>
    <w:p w14:paraId="51A1EBF7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4BE6390C" w14:textId="77777777" w:rsidR="00057515" w:rsidRPr="0022674D" w:rsidRDefault="00057515" w:rsidP="00057515">
      <w:pPr>
        <w:widowControl w:val="0"/>
        <w:suppressAutoHyphens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5A2764CA" w14:textId="77777777" w:rsidR="00057515" w:rsidRPr="0022674D" w:rsidRDefault="00057515" w:rsidP="00057515">
      <w:pPr>
        <w:widowControl w:val="0"/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OŚWIADCZENIE</w:t>
      </w:r>
    </w:p>
    <w:p w14:paraId="345274A6" w14:textId="77777777" w:rsidR="00057515" w:rsidRPr="0022674D" w:rsidRDefault="00057515" w:rsidP="00057515">
      <w:pPr>
        <w:widowControl w:val="0"/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dla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celów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obliczania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miesięcznych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zaliczek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podatek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dochodowy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osób</w:t>
      </w:r>
      <w:proofErr w:type="spellEnd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fizycznych</w:t>
      </w:r>
      <w:proofErr w:type="spellEnd"/>
    </w:p>
    <w:p w14:paraId="5A51C0EC" w14:textId="77777777" w:rsidR="00057515" w:rsidRPr="0022674D" w:rsidRDefault="00057515" w:rsidP="00057515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</w:p>
    <w:p w14:paraId="0D62F58E" w14:textId="77777777" w:rsidR="00057515" w:rsidRPr="0022674D" w:rsidRDefault="00057515" w:rsidP="00057515">
      <w:pPr>
        <w:widowControl w:val="0"/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</w:pP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Niniejszym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oświadczam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że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moje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przekroczyły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kwotę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pierwszego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przedziału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skali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podatkowej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(120.000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zł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– art. 27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1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ustawy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o PIT –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t.j.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Dz. U. z 2022 r.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poz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2647),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związku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z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czym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zaliczka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podatek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dochodowy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osób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fizycznych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powinna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być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pobierana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w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wysokości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właściwej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dla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progu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,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tj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.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według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stawki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32%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od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uzyskanego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 xml:space="preserve"> </w:t>
      </w:r>
      <w:proofErr w:type="spellStart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dochodu</w:t>
      </w:r>
      <w:proofErr w:type="spellEnd"/>
      <w:r w:rsidRPr="0022674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val="en-US" w:eastAsia="pl-PL"/>
          <w14:ligatures w14:val="none"/>
        </w:rPr>
        <w:t>.</w:t>
      </w:r>
    </w:p>
    <w:p w14:paraId="47C029E1" w14:textId="77777777" w:rsidR="00180D00" w:rsidRPr="0022674D" w:rsidRDefault="00180D00">
      <w:pPr>
        <w:rPr>
          <w:rFonts w:ascii="Arial" w:hAnsi="Arial" w:cs="Arial"/>
          <w:sz w:val="20"/>
          <w:szCs w:val="20"/>
        </w:rPr>
      </w:pPr>
    </w:p>
    <w:sectPr w:rsidR="00180D00" w:rsidRPr="0022674D" w:rsidSect="00057515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7EEB"/>
    <w:multiLevelType w:val="hybridMultilevel"/>
    <w:tmpl w:val="8A1A9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6744"/>
    <w:multiLevelType w:val="hybridMultilevel"/>
    <w:tmpl w:val="4ADAECC8"/>
    <w:lvl w:ilvl="0" w:tplc="A3E06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1D34"/>
    <w:multiLevelType w:val="hybridMultilevel"/>
    <w:tmpl w:val="B9FC9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658D"/>
    <w:multiLevelType w:val="hybridMultilevel"/>
    <w:tmpl w:val="8D36C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1755E"/>
    <w:multiLevelType w:val="hybridMultilevel"/>
    <w:tmpl w:val="DF5C8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3141">
    <w:abstractNumId w:val="2"/>
  </w:num>
  <w:num w:numId="2" w16cid:durableId="1686706726">
    <w:abstractNumId w:val="3"/>
  </w:num>
  <w:num w:numId="3" w16cid:durableId="1221788609">
    <w:abstractNumId w:val="1"/>
  </w:num>
  <w:num w:numId="4" w16cid:durableId="564528386">
    <w:abstractNumId w:val="0"/>
  </w:num>
  <w:num w:numId="5" w16cid:durableId="1567572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15"/>
    <w:rsid w:val="00057515"/>
    <w:rsid w:val="00180D00"/>
    <w:rsid w:val="0022674D"/>
    <w:rsid w:val="003409AD"/>
    <w:rsid w:val="0056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AC3D"/>
  <w15:chartTrackingRefBased/>
  <w15:docId w15:val="{CECA251C-ECC2-4660-AFF4-DB2E2225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1632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</dc:creator>
  <cp:keywords/>
  <dc:description/>
  <cp:lastModifiedBy>Marek Ch</cp:lastModifiedBy>
  <cp:revision>3</cp:revision>
  <dcterms:created xsi:type="dcterms:W3CDTF">2023-12-20T23:41:00Z</dcterms:created>
  <dcterms:modified xsi:type="dcterms:W3CDTF">2023-12-21T00:52:00Z</dcterms:modified>
</cp:coreProperties>
</file>